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6D86" w14:textId="35740D80" w:rsidR="00B1774F" w:rsidRDefault="00592262" w:rsidP="00592262">
      <w:pPr>
        <w:pStyle w:val="Kop1"/>
      </w:pPr>
      <w:r>
        <w:t>Voorgenomen Reglementswijzigingen</w:t>
      </w:r>
    </w:p>
    <w:p w14:paraId="470E2F0E" w14:textId="2E92BEDA" w:rsidR="00592262" w:rsidRDefault="00592262" w:rsidP="00592262">
      <w:r>
        <w:t xml:space="preserve">Alle onderstaande voorstellen zijn ingediend door het bestuur van de PDB. </w:t>
      </w:r>
      <w:r w:rsidR="00E93B93">
        <w:t>Er zijn dit seizoen geen voorstellen ingediend door andere leden van de PDB.</w:t>
      </w:r>
    </w:p>
    <w:p w14:paraId="0E95C470" w14:textId="72B28E68" w:rsidR="00592262" w:rsidRDefault="00592262" w:rsidP="00592262">
      <w:pPr>
        <w:pStyle w:val="Kop2"/>
      </w:pPr>
      <w:r>
        <w:t>Wedstrijdreglement</w:t>
      </w:r>
    </w:p>
    <w:tbl>
      <w:tblPr>
        <w:tblStyle w:val="Tabelraster"/>
        <w:tblW w:w="14170" w:type="dxa"/>
        <w:tblLook w:val="04A0" w:firstRow="1" w:lastRow="0" w:firstColumn="1" w:lastColumn="0" w:noHBand="0" w:noVBand="1"/>
      </w:tblPr>
      <w:tblGrid>
        <w:gridCol w:w="821"/>
        <w:gridCol w:w="4277"/>
        <w:gridCol w:w="4536"/>
        <w:gridCol w:w="4536"/>
      </w:tblGrid>
      <w:tr w:rsidR="00592262" w:rsidRPr="00592262" w14:paraId="7D3C7FF3" w14:textId="6F83E947" w:rsidTr="00E82F15">
        <w:trPr>
          <w:trHeight w:val="272"/>
        </w:trPr>
        <w:tc>
          <w:tcPr>
            <w:tcW w:w="821" w:type="dxa"/>
            <w:shd w:val="clear" w:color="auto" w:fill="000000" w:themeFill="text1"/>
          </w:tcPr>
          <w:p w14:paraId="1253E920" w14:textId="09A7E4A9" w:rsidR="00592262" w:rsidRPr="00592262" w:rsidRDefault="00592262" w:rsidP="00592262">
            <w:pPr>
              <w:rPr>
                <w:b/>
                <w:bCs/>
                <w:color w:val="FFFFFF" w:themeColor="background1"/>
              </w:rPr>
            </w:pPr>
            <w:r>
              <w:rPr>
                <w:b/>
                <w:bCs/>
                <w:color w:val="FFFFFF" w:themeColor="background1"/>
              </w:rPr>
              <w:t>Artikel</w:t>
            </w:r>
          </w:p>
        </w:tc>
        <w:tc>
          <w:tcPr>
            <w:tcW w:w="4277" w:type="dxa"/>
            <w:shd w:val="clear" w:color="auto" w:fill="000000" w:themeFill="text1"/>
          </w:tcPr>
          <w:p w14:paraId="382336D5" w14:textId="588F91E6" w:rsidR="00592262" w:rsidRPr="00592262" w:rsidRDefault="00592262" w:rsidP="00592262">
            <w:pPr>
              <w:rPr>
                <w:b/>
                <w:bCs/>
                <w:color w:val="FFFFFF" w:themeColor="background1"/>
              </w:rPr>
            </w:pPr>
            <w:r>
              <w:rPr>
                <w:b/>
                <w:bCs/>
                <w:color w:val="FFFFFF" w:themeColor="background1"/>
              </w:rPr>
              <w:t>Huidige tekst</w:t>
            </w:r>
          </w:p>
        </w:tc>
        <w:tc>
          <w:tcPr>
            <w:tcW w:w="4536" w:type="dxa"/>
            <w:shd w:val="clear" w:color="auto" w:fill="000000" w:themeFill="text1"/>
          </w:tcPr>
          <w:p w14:paraId="39FB6AC9" w14:textId="62875EEC" w:rsidR="00592262" w:rsidRPr="00592262" w:rsidRDefault="00592262" w:rsidP="00592262">
            <w:pPr>
              <w:rPr>
                <w:b/>
                <w:bCs/>
                <w:color w:val="FFFFFF" w:themeColor="background1"/>
              </w:rPr>
            </w:pPr>
            <w:r>
              <w:rPr>
                <w:b/>
                <w:bCs/>
                <w:color w:val="FFFFFF" w:themeColor="background1"/>
              </w:rPr>
              <w:t>Aanpassing</w:t>
            </w:r>
          </w:p>
        </w:tc>
        <w:tc>
          <w:tcPr>
            <w:tcW w:w="4536" w:type="dxa"/>
            <w:shd w:val="clear" w:color="auto" w:fill="000000" w:themeFill="text1"/>
          </w:tcPr>
          <w:p w14:paraId="32992DF3" w14:textId="58CECA30" w:rsidR="00592262" w:rsidRDefault="00592262" w:rsidP="00592262">
            <w:pPr>
              <w:rPr>
                <w:b/>
                <w:bCs/>
                <w:color w:val="FFFFFF" w:themeColor="background1"/>
              </w:rPr>
            </w:pPr>
            <w:r>
              <w:rPr>
                <w:b/>
                <w:bCs/>
                <w:color w:val="FFFFFF" w:themeColor="background1"/>
              </w:rPr>
              <w:t>Uitleg</w:t>
            </w:r>
          </w:p>
        </w:tc>
      </w:tr>
      <w:tr w:rsidR="00592262" w14:paraId="3CE9292E" w14:textId="39847F25" w:rsidTr="00E82F15">
        <w:trPr>
          <w:trHeight w:val="1118"/>
        </w:trPr>
        <w:tc>
          <w:tcPr>
            <w:tcW w:w="821" w:type="dxa"/>
          </w:tcPr>
          <w:p w14:paraId="150592CD" w14:textId="527409E7" w:rsidR="00592262" w:rsidRDefault="006C040B" w:rsidP="00592262">
            <w:r>
              <w:t>3.12</w:t>
            </w:r>
          </w:p>
        </w:tc>
        <w:tc>
          <w:tcPr>
            <w:tcW w:w="4277" w:type="dxa"/>
          </w:tcPr>
          <w:p w14:paraId="11DD9054" w14:textId="11A0BC44" w:rsidR="00592262" w:rsidRDefault="006C040B" w:rsidP="00592262">
            <w:r>
              <w:t>Geen artikel</w:t>
            </w:r>
          </w:p>
        </w:tc>
        <w:tc>
          <w:tcPr>
            <w:tcW w:w="4536" w:type="dxa"/>
          </w:tcPr>
          <w:p w14:paraId="7BF68F6C" w14:textId="0B836A2D" w:rsidR="00592262" w:rsidRDefault="00E93B93" w:rsidP="00592262">
            <w:r>
              <w:t>Indien een nieuw team één of meerdere spelers wil inschrijven op of na de datum waarop de competitie-indeling definitief is, met als gevolg dat door deze inschrijving(en) het betreffende team op papier een bestaand team had moeten zijn t.o.v. het vorige seizoen, dan heeft het bestuur het recht deze inschrijvingen te weigeren. Dit zal gebeuren wanneer dit nieuwe team, o.b.v. de eindklassering van het oude team in een hogere divisie had moeten uitkomen. In dit geval wordt de betaalde contributie voor deze speler(s) geresitueerd.</w:t>
            </w:r>
          </w:p>
        </w:tc>
        <w:tc>
          <w:tcPr>
            <w:tcW w:w="4536" w:type="dxa"/>
          </w:tcPr>
          <w:p w14:paraId="2B0E8D4D" w14:textId="2ABF13BC" w:rsidR="00574E85" w:rsidRPr="00574E85" w:rsidRDefault="006C040B" w:rsidP="007810EA">
            <w:pPr>
              <w:rPr>
                <w:i/>
                <w:iCs/>
              </w:rPr>
            </w:pPr>
            <w:r w:rsidRPr="006C040B">
              <w:t>Artikel als aanvulling op de bestaande reglementen.</w:t>
            </w:r>
            <w:r w:rsidR="007810EA">
              <w:t xml:space="preserve"> Het bestuur zou deze passage graag opnemen om te voorkomen dat een team zich in een lagere divisie laat indelen onder het mom van vertrokken/gestopte spelers om vervolgens deze zelfde spelers toe te voegen op het moment dat de competitie-indeling definitief is en daarmee competitievervalsing in de hand werken.</w:t>
            </w:r>
          </w:p>
        </w:tc>
      </w:tr>
      <w:tr w:rsidR="00592262" w14:paraId="055C83A0" w14:textId="684F9B29" w:rsidTr="00E82F15">
        <w:trPr>
          <w:trHeight w:val="1937"/>
        </w:trPr>
        <w:tc>
          <w:tcPr>
            <w:tcW w:w="821" w:type="dxa"/>
          </w:tcPr>
          <w:p w14:paraId="57DDA8CB" w14:textId="427F9DA8" w:rsidR="00592262" w:rsidRDefault="006C040B" w:rsidP="00592262">
            <w:r>
              <w:t>6.6.c</w:t>
            </w:r>
          </w:p>
        </w:tc>
        <w:tc>
          <w:tcPr>
            <w:tcW w:w="4277" w:type="dxa"/>
          </w:tcPr>
          <w:p w14:paraId="6DA160D7" w14:textId="1CF3D6F5" w:rsidR="00592262" w:rsidRDefault="006C040B" w:rsidP="00592262">
            <w:r w:rsidRPr="006C040B">
              <w:t>Wanneer een uitslag komt te vervallen (omdat een team zich terugtrekt uit de competitie) komen alle bijbehorende resultaten te vervallen (180-ers, hoogste finishes en punten).</w:t>
            </w:r>
            <w:r w:rsidRPr="006C040B">
              <w:br/>
              <w:t>dd 26.06.2013 Strafpunten blijven staan.</w:t>
            </w:r>
          </w:p>
        </w:tc>
        <w:tc>
          <w:tcPr>
            <w:tcW w:w="4536" w:type="dxa"/>
          </w:tcPr>
          <w:p w14:paraId="630D03ED" w14:textId="59E270D7" w:rsidR="00592262" w:rsidRDefault="006C040B" w:rsidP="00592262">
            <w:r>
              <w:t>Wanneer een uitslag komt te vervallen (omdat een team zich terugtrekt uit de competitie) komen alle bijbehorende single- en koppelwedstrijden te vervallen. Uitzondering hierop zijn gegooide bijzondere resultaten (180-ers, hoogste finishes). Ook strafpunten blijven staan.</w:t>
            </w:r>
          </w:p>
        </w:tc>
        <w:tc>
          <w:tcPr>
            <w:tcW w:w="4536" w:type="dxa"/>
          </w:tcPr>
          <w:p w14:paraId="51006C14" w14:textId="0B29D01B" w:rsidR="00592262" w:rsidRPr="006C040B" w:rsidRDefault="006C040B" w:rsidP="00592262">
            <w:r>
              <w:t>Spelers die een bijzondere finish hebben gegooid willen die graag behouden zien, dit zou wat het bestuur betreft, niet moeten afhangen van het wel of niet uitspelen van de competitie door een ander team.</w:t>
            </w:r>
          </w:p>
        </w:tc>
      </w:tr>
      <w:tr w:rsidR="00E82F15" w14:paraId="2E6ABFBD" w14:textId="41988265" w:rsidTr="00E82F15">
        <w:trPr>
          <w:trHeight w:val="272"/>
        </w:trPr>
        <w:tc>
          <w:tcPr>
            <w:tcW w:w="821" w:type="dxa"/>
          </w:tcPr>
          <w:p w14:paraId="133FB0DC" w14:textId="0004F1BE" w:rsidR="00E82F15" w:rsidRDefault="00A276D3" w:rsidP="00E82F15">
            <w:r>
              <w:t>3.16</w:t>
            </w:r>
          </w:p>
        </w:tc>
        <w:tc>
          <w:tcPr>
            <w:tcW w:w="4277" w:type="dxa"/>
          </w:tcPr>
          <w:p w14:paraId="0D7091F6" w14:textId="65247D08" w:rsidR="00E82F15" w:rsidRDefault="00A276D3" w:rsidP="00E82F15">
            <w:r w:rsidRPr="00A276D3">
              <w:t>dd. 10.06.2015 Van de divisiekampioenen wordt geacht dat zij aanwezig zijn op de divisiekampioenschappen.</w:t>
            </w:r>
            <w:r w:rsidRPr="00A276D3">
              <w:br/>
              <w:t xml:space="preserve">Voor teams die zich binnen 7 dagen voor aanvang van deze kampioenschappen afmelden, niet komen opdagen, of de </w:t>
            </w:r>
            <w:r w:rsidRPr="00A276D3">
              <w:lastRenderedPageBreak/>
              <w:t>wedstrijden op deze dag niet afmaken zijn de reglementen m.b.t. strafbepalingen uit de competitie van toepassing.</w:t>
            </w:r>
          </w:p>
        </w:tc>
        <w:tc>
          <w:tcPr>
            <w:tcW w:w="4536" w:type="dxa"/>
          </w:tcPr>
          <w:p w14:paraId="329C3A06" w14:textId="0CA59384" w:rsidR="00E82F15" w:rsidRDefault="00A276D3" w:rsidP="00E82F15">
            <w:r>
              <w:lastRenderedPageBreak/>
              <w:t xml:space="preserve">De divisiekampioenschappen </w:t>
            </w:r>
            <w:r w:rsidR="006A0C74">
              <w:t>zijn verplicht voor teams die kampioen geworden zijn. Teams die zich voor deze</w:t>
            </w:r>
            <w:r>
              <w:t xml:space="preserve"> kampioenschappen afmelden, niet komen opdagen, of de wedstrijden op deze dag niet afmaken zijn de reglementen m.b.t. </w:t>
            </w:r>
            <w:r>
              <w:lastRenderedPageBreak/>
              <w:t>strafbepalingen uit de competitie van toepassing.</w:t>
            </w:r>
          </w:p>
        </w:tc>
        <w:tc>
          <w:tcPr>
            <w:tcW w:w="4536" w:type="dxa"/>
          </w:tcPr>
          <w:p w14:paraId="12CF21A1" w14:textId="56037D64" w:rsidR="001A60C9" w:rsidRPr="00A276D3" w:rsidRDefault="00E93B93" w:rsidP="00E82F15">
            <w:r>
              <w:lastRenderedPageBreak/>
              <w:t>Het is de afgelopen seizoenen te vaak voorgekomen dat er divisies geen afvaardiging hadden richting de NDB. De divisiekampioenschappen verplicht maken zou dit moeten voorkomen.</w:t>
            </w:r>
          </w:p>
        </w:tc>
      </w:tr>
      <w:tr w:rsidR="00E82F15" w14:paraId="69DC81BE" w14:textId="2F49D529" w:rsidTr="00E82F15">
        <w:trPr>
          <w:trHeight w:val="272"/>
        </w:trPr>
        <w:tc>
          <w:tcPr>
            <w:tcW w:w="821" w:type="dxa"/>
          </w:tcPr>
          <w:p w14:paraId="504A7B0B" w14:textId="6BAA3EE6" w:rsidR="00E82F15" w:rsidRDefault="00A276D3" w:rsidP="00E82F15">
            <w:r>
              <w:t>5.</w:t>
            </w:r>
            <w:r w:rsidR="006A0C74">
              <w:t>2.b.</w:t>
            </w:r>
          </w:p>
        </w:tc>
        <w:tc>
          <w:tcPr>
            <w:tcW w:w="4277" w:type="dxa"/>
          </w:tcPr>
          <w:p w14:paraId="545F367A" w14:textId="02014789" w:rsidR="00E82F15" w:rsidRDefault="006A0C74" w:rsidP="00E82F15">
            <w:r w:rsidRPr="006A0C74">
              <w:t>De koppelwedstrijden mogen één voor één op het wedstrijdformulier worden ingevuld.</w:t>
            </w:r>
          </w:p>
        </w:tc>
        <w:tc>
          <w:tcPr>
            <w:tcW w:w="4536" w:type="dxa"/>
          </w:tcPr>
          <w:p w14:paraId="63B9CC39" w14:textId="1991375C" w:rsidR="00E82F15" w:rsidRDefault="006A0C74" w:rsidP="00E82F15">
            <w:r>
              <w:t xml:space="preserve">Bij de koppelwedstrijden wordt het eerste koppel door beide captains </w:t>
            </w:r>
            <w:r w:rsidR="002D55F8">
              <w:t>genoteerd op hun eigen wedstrijdformulier en hierna van elkaar overgenomen. Daarna maakt het uitspelende team de verdere volgorde bekend, dit mag één voor één.</w:t>
            </w:r>
          </w:p>
        </w:tc>
        <w:tc>
          <w:tcPr>
            <w:tcW w:w="4536" w:type="dxa"/>
          </w:tcPr>
          <w:p w14:paraId="3E835E29" w14:textId="213E35B0" w:rsidR="00E82F15" w:rsidRDefault="00A276D3" w:rsidP="00E82F15">
            <w:r>
              <w:t xml:space="preserve">Volgorde van </w:t>
            </w:r>
            <w:r w:rsidR="00E93B93">
              <w:t>hoe de koppels ingevuld dienen te worden kan leiden tot discussie. Vandaar deze voorgenomen aanpassing.</w:t>
            </w:r>
          </w:p>
        </w:tc>
      </w:tr>
      <w:tr w:rsidR="00E648A7" w14:paraId="23B3CBCA" w14:textId="77777777" w:rsidTr="0092023A">
        <w:trPr>
          <w:trHeight w:val="272"/>
        </w:trPr>
        <w:tc>
          <w:tcPr>
            <w:tcW w:w="821" w:type="dxa"/>
          </w:tcPr>
          <w:p w14:paraId="2175A0B4" w14:textId="0FCCBAFE" w:rsidR="00E648A7" w:rsidRPr="006C040B" w:rsidRDefault="0084442B" w:rsidP="0092023A">
            <w:r>
              <w:t>8.1</w:t>
            </w:r>
          </w:p>
        </w:tc>
        <w:tc>
          <w:tcPr>
            <w:tcW w:w="4277" w:type="dxa"/>
          </w:tcPr>
          <w:p w14:paraId="5AF8B708" w14:textId="51500603" w:rsidR="00E648A7" w:rsidRPr="00D76EC3" w:rsidRDefault="00D76EC3" w:rsidP="0092023A">
            <w:r w:rsidRPr="00D76EC3">
              <w:t>Door Peelland Dart Bond wordt elk jaar een bekercompetitie georganiseerd. Voor de bekercompetitie gelden de statuten en reglementen. Er wordt gespeeld met alleen een winnaarsronde en conform het knock-off principe. Aan de bekercompetitie wordt door alle teams deelgenomen ongeacht de divisie waarin de teams spelen.</w:t>
            </w:r>
            <w:r w:rsidRPr="00D76EC3">
              <w:br/>
              <w:t>dd.04.06.2014 Tijdens de voorrondes wordt de speellocatie bepaald door loting. In eerst volgende 3 speelrondes krijgen lager spelende divisies een thuisvoordeel.</w:t>
            </w:r>
            <w:r w:rsidRPr="00D76EC3">
              <w:br/>
              <w:t>Is de divisie gelijk dan wordt de speellocatie bepaald door loting. Vanaf de 4e ronde wordt de speellocatie weer bepaald door loting.</w:t>
            </w:r>
            <w:r w:rsidRPr="00D76EC3">
              <w:br/>
              <w:t>De finale is altijd op woensdag . </w:t>
            </w:r>
          </w:p>
        </w:tc>
        <w:tc>
          <w:tcPr>
            <w:tcW w:w="4536" w:type="dxa"/>
          </w:tcPr>
          <w:p w14:paraId="1C48C6B9" w14:textId="1E4E9363" w:rsidR="00E648A7" w:rsidRPr="006C040B" w:rsidRDefault="00D76EC3" w:rsidP="0092023A">
            <w:r w:rsidRPr="00D76EC3">
              <w:t>Door Peelland Dart Bond wordt elk jaar een bekercompetitie georganiseerd. Voor de bekercompetitie gelden de statuten en reglementen.</w:t>
            </w:r>
            <w:r>
              <w:t xml:space="preserve"> </w:t>
            </w:r>
            <w:r w:rsidRPr="00D76EC3">
              <w:t>Aan de bekercompetitie wordt door alle teams deelgenomen ongeacht de divisie waarin de teams spelen.</w:t>
            </w:r>
            <w:r w:rsidRPr="00D76EC3">
              <w:br/>
              <w:t>Tijdens de voorrondes wordt de speellocatie bepaald door loting. In eerst volgende 3 speelrondes krijgen lager spelende divisies een thuisvoordeel.</w:t>
            </w:r>
            <w:r w:rsidRPr="00D76EC3">
              <w:br/>
              <w:t>Is de divisie gelijk dan wordt de speellocatie bepaald door loting. Vanaf de 4e ronde wordt de speellocatie weer bepaald door loting.</w:t>
            </w:r>
            <w:r w:rsidRPr="00D76EC3">
              <w:br/>
              <w:t>De finale is altijd op woensdag.</w:t>
            </w:r>
          </w:p>
        </w:tc>
        <w:tc>
          <w:tcPr>
            <w:tcW w:w="4536" w:type="dxa"/>
          </w:tcPr>
          <w:p w14:paraId="1F4F1B70" w14:textId="776C0F01" w:rsidR="005C3B40" w:rsidRDefault="00E93B93" w:rsidP="0092023A">
            <w:r>
              <w:t>De Peelland Dart Bond heeft een nieuwe opzet van de bekercompetitie voor ogen. Aangezien een reglement gedurende 3 jaar niet mag worden aangepast na het ter stemming komen op de ALV zou het bestuur het op prijs stellen die vrijheid van opzet in het reglement te laten terugkeren. Hiermee wordt wel ruimte geboden om te experimenteren met een nieuwe opzet, maar is het niet direct onmogelijk een verandering door te voeren wanneer dit niet wenselijk blijkt.</w:t>
            </w:r>
          </w:p>
          <w:p w14:paraId="2EFC64CD" w14:textId="58A47F2C" w:rsidR="005C3B40" w:rsidRDefault="005C3B40" w:rsidP="0092023A"/>
        </w:tc>
      </w:tr>
      <w:tr w:rsidR="00E82F15" w14:paraId="73E7638A" w14:textId="77777777" w:rsidTr="00E82F15">
        <w:trPr>
          <w:trHeight w:val="272"/>
        </w:trPr>
        <w:tc>
          <w:tcPr>
            <w:tcW w:w="821" w:type="dxa"/>
          </w:tcPr>
          <w:p w14:paraId="3580EECD" w14:textId="238915B8" w:rsidR="00E82F15" w:rsidRDefault="00E82F15" w:rsidP="00E82F15"/>
        </w:tc>
        <w:tc>
          <w:tcPr>
            <w:tcW w:w="4277" w:type="dxa"/>
          </w:tcPr>
          <w:p w14:paraId="2E5607B7" w14:textId="484F414E" w:rsidR="00E82F15" w:rsidRDefault="00E82F15" w:rsidP="00E82F15"/>
        </w:tc>
        <w:tc>
          <w:tcPr>
            <w:tcW w:w="4536" w:type="dxa"/>
          </w:tcPr>
          <w:p w14:paraId="3572B7C5" w14:textId="20250C22" w:rsidR="00E82F15" w:rsidRDefault="00E82F15" w:rsidP="00E82F15"/>
        </w:tc>
        <w:tc>
          <w:tcPr>
            <w:tcW w:w="4536" w:type="dxa"/>
          </w:tcPr>
          <w:p w14:paraId="0D00D491" w14:textId="7E01A507" w:rsidR="00856229" w:rsidRPr="00856229" w:rsidRDefault="00856229" w:rsidP="00E82F15">
            <w:pPr>
              <w:rPr>
                <w:i/>
                <w:iCs/>
              </w:rPr>
            </w:pPr>
          </w:p>
        </w:tc>
      </w:tr>
      <w:tr w:rsidR="00E82F15" w14:paraId="5A3859CD" w14:textId="77777777" w:rsidTr="00E82F15">
        <w:trPr>
          <w:trHeight w:val="272"/>
        </w:trPr>
        <w:tc>
          <w:tcPr>
            <w:tcW w:w="821" w:type="dxa"/>
          </w:tcPr>
          <w:p w14:paraId="4F4750ED" w14:textId="7DCC6075" w:rsidR="00E82F15" w:rsidRDefault="00E82F15" w:rsidP="00E82F15"/>
        </w:tc>
        <w:tc>
          <w:tcPr>
            <w:tcW w:w="4277" w:type="dxa"/>
          </w:tcPr>
          <w:p w14:paraId="7DF882EA" w14:textId="1418283D" w:rsidR="00E82F15" w:rsidRDefault="00E82F15" w:rsidP="00E82F15"/>
        </w:tc>
        <w:tc>
          <w:tcPr>
            <w:tcW w:w="4536" w:type="dxa"/>
          </w:tcPr>
          <w:p w14:paraId="41C33DA6" w14:textId="3BED27AF" w:rsidR="00E82F15" w:rsidRDefault="00E82F15" w:rsidP="00E82F15"/>
        </w:tc>
        <w:tc>
          <w:tcPr>
            <w:tcW w:w="4536" w:type="dxa"/>
          </w:tcPr>
          <w:p w14:paraId="7A20DFD8" w14:textId="5D12F927" w:rsidR="00856229" w:rsidRPr="00856229" w:rsidRDefault="00856229" w:rsidP="00E82F15">
            <w:pPr>
              <w:rPr>
                <w:i/>
                <w:iCs/>
              </w:rPr>
            </w:pPr>
          </w:p>
        </w:tc>
      </w:tr>
      <w:tr w:rsidR="00E82F15" w14:paraId="6AF43990" w14:textId="77777777" w:rsidTr="00E82F15">
        <w:trPr>
          <w:trHeight w:val="272"/>
        </w:trPr>
        <w:tc>
          <w:tcPr>
            <w:tcW w:w="821" w:type="dxa"/>
          </w:tcPr>
          <w:p w14:paraId="12E97793" w14:textId="53B8A2B9" w:rsidR="00E82F15" w:rsidRDefault="00E82F15" w:rsidP="00E82F15"/>
        </w:tc>
        <w:tc>
          <w:tcPr>
            <w:tcW w:w="4277" w:type="dxa"/>
          </w:tcPr>
          <w:p w14:paraId="219D0AC9" w14:textId="1185C3E3" w:rsidR="00E82F15" w:rsidRDefault="00E82F15" w:rsidP="00E82F15"/>
        </w:tc>
        <w:tc>
          <w:tcPr>
            <w:tcW w:w="4536" w:type="dxa"/>
          </w:tcPr>
          <w:p w14:paraId="20B38655" w14:textId="448A87BA" w:rsidR="00E82F15" w:rsidRDefault="00E82F15" w:rsidP="00E82F15"/>
        </w:tc>
        <w:tc>
          <w:tcPr>
            <w:tcW w:w="4536" w:type="dxa"/>
          </w:tcPr>
          <w:p w14:paraId="22351F08" w14:textId="249D6077" w:rsidR="00856229" w:rsidRPr="00856229" w:rsidRDefault="00856229" w:rsidP="00E82F15">
            <w:pPr>
              <w:rPr>
                <w:i/>
                <w:iCs/>
              </w:rPr>
            </w:pPr>
          </w:p>
        </w:tc>
      </w:tr>
    </w:tbl>
    <w:p w14:paraId="4F3882C4" w14:textId="77777777" w:rsidR="00E82F15" w:rsidRPr="00E82F15" w:rsidRDefault="00E82F15" w:rsidP="00E82F15"/>
    <w:sectPr w:rsidR="00E82F15" w:rsidRPr="00E82F15" w:rsidSect="005922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62"/>
    <w:rsid w:val="001A60C9"/>
    <w:rsid w:val="002D55F8"/>
    <w:rsid w:val="003B7F30"/>
    <w:rsid w:val="004B5F9F"/>
    <w:rsid w:val="0052043F"/>
    <w:rsid w:val="00574E85"/>
    <w:rsid w:val="00592262"/>
    <w:rsid w:val="005C3B40"/>
    <w:rsid w:val="006A0C74"/>
    <w:rsid w:val="006C040B"/>
    <w:rsid w:val="007810EA"/>
    <w:rsid w:val="0084442B"/>
    <w:rsid w:val="00856229"/>
    <w:rsid w:val="00953009"/>
    <w:rsid w:val="00A276D3"/>
    <w:rsid w:val="00AF2633"/>
    <w:rsid w:val="00B05241"/>
    <w:rsid w:val="00B1774F"/>
    <w:rsid w:val="00B77A46"/>
    <w:rsid w:val="00BE63D0"/>
    <w:rsid w:val="00C3759E"/>
    <w:rsid w:val="00CB03B1"/>
    <w:rsid w:val="00D76EC3"/>
    <w:rsid w:val="00E648A7"/>
    <w:rsid w:val="00E82F15"/>
    <w:rsid w:val="00E93B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EA66"/>
  <w15:chartTrackingRefBased/>
  <w15:docId w15:val="{3BD7FC10-2B0E-4C4E-8598-1703BC21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22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5922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9226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9226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9226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922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22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22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22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226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59226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9226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9226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9226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922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22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22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2262"/>
    <w:rPr>
      <w:rFonts w:eastAsiaTheme="majorEastAsia" w:cstheme="majorBidi"/>
      <w:color w:val="272727" w:themeColor="text1" w:themeTint="D8"/>
    </w:rPr>
  </w:style>
  <w:style w:type="paragraph" w:styleId="Titel">
    <w:name w:val="Title"/>
    <w:basedOn w:val="Standaard"/>
    <w:next w:val="Standaard"/>
    <w:link w:val="TitelChar"/>
    <w:uiPriority w:val="10"/>
    <w:qFormat/>
    <w:rsid w:val="00592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22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22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22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22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2262"/>
    <w:rPr>
      <w:i/>
      <w:iCs/>
      <w:color w:val="404040" w:themeColor="text1" w:themeTint="BF"/>
    </w:rPr>
  </w:style>
  <w:style w:type="paragraph" w:styleId="Lijstalinea">
    <w:name w:val="List Paragraph"/>
    <w:basedOn w:val="Standaard"/>
    <w:uiPriority w:val="34"/>
    <w:qFormat/>
    <w:rsid w:val="00592262"/>
    <w:pPr>
      <w:ind w:left="720"/>
      <w:contextualSpacing/>
    </w:pPr>
  </w:style>
  <w:style w:type="character" w:styleId="Intensievebenadrukking">
    <w:name w:val="Intense Emphasis"/>
    <w:basedOn w:val="Standaardalinea-lettertype"/>
    <w:uiPriority w:val="21"/>
    <w:qFormat/>
    <w:rsid w:val="00592262"/>
    <w:rPr>
      <w:i/>
      <w:iCs/>
      <w:color w:val="2F5496" w:themeColor="accent1" w:themeShade="BF"/>
    </w:rPr>
  </w:style>
  <w:style w:type="paragraph" w:styleId="Duidelijkcitaat">
    <w:name w:val="Intense Quote"/>
    <w:basedOn w:val="Standaard"/>
    <w:next w:val="Standaard"/>
    <w:link w:val="DuidelijkcitaatChar"/>
    <w:uiPriority w:val="30"/>
    <w:qFormat/>
    <w:rsid w:val="005922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92262"/>
    <w:rPr>
      <w:i/>
      <w:iCs/>
      <w:color w:val="2F5496" w:themeColor="accent1" w:themeShade="BF"/>
    </w:rPr>
  </w:style>
  <w:style w:type="character" w:styleId="Intensieveverwijzing">
    <w:name w:val="Intense Reference"/>
    <w:basedOn w:val="Standaardalinea-lettertype"/>
    <w:uiPriority w:val="32"/>
    <w:qFormat/>
    <w:rsid w:val="00592262"/>
    <w:rPr>
      <w:b/>
      <w:bCs/>
      <w:smallCaps/>
      <w:color w:val="2F5496" w:themeColor="accent1" w:themeShade="BF"/>
      <w:spacing w:val="5"/>
    </w:rPr>
  </w:style>
  <w:style w:type="table" w:styleId="Tabelraster">
    <w:name w:val="Table Grid"/>
    <w:basedOn w:val="Standaardtabel"/>
    <w:uiPriority w:val="39"/>
    <w:rsid w:val="0059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92262"/>
    <w:pPr>
      <w:spacing w:after="0" w:line="240" w:lineRule="auto"/>
    </w:pPr>
  </w:style>
  <w:style w:type="character" w:styleId="Verwijzingopmerking">
    <w:name w:val="annotation reference"/>
    <w:basedOn w:val="Standaardalinea-lettertype"/>
    <w:uiPriority w:val="99"/>
    <w:semiHidden/>
    <w:unhideWhenUsed/>
    <w:rsid w:val="00592262"/>
    <w:rPr>
      <w:sz w:val="16"/>
      <w:szCs w:val="16"/>
    </w:rPr>
  </w:style>
  <w:style w:type="paragraph" w:styleId="Tekstopmerking">
    <w:name w:val="annotation text"/>
    <w:basedOn w:val="Standaard"/>
    <w:link w:val="TekstopmerkingChar"/>
    <w:uiPriority w:val="99"/>
    <w:semiHidden/>
    <w:unhideWhenUsed/>
    <w:rsid w:val="0059226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92262"/>
    <w:rPr>
      <w:sz w:val="20"/>
      <w:szCs w:val="20"/>
    </w:rPr>
  </w:style>
  <w:style w:type="paragraph" w:styleId="Onderwerpvanopmerking">
    <w:name w:val="annotation subject"/>
    <w:basedOn w:val="Tekstopmerking"/>
    <w:next w:val="Tekstopmerking"/>
    <w:link w:val="OnderwerpvanopmerkingChar"/>
    <w:uiPriority w:val="99"/>
    <w:semiHidden/>
    <w:unhideWhenUsed/>
    <w:rsid w:val="00592262"/>
    <w:rPr>
      <w:b/>
      <w:bCs/>
    </w:rPr>
  </w:style>
  <w:style w:type="character" w:customStyle="1" w:styleId="OnderwerpvanopmerkingChar">
    <w:name w:val="Onderwerp van opmerking Char"/>
    <w:basedOn w:val="TekstopmerkingChar"/>
    <w:link w:val="Onderwerpvanopmerking"/>
    <w:uiPriority w:val="99"/>
    <w:semiHidden/>
    <w:rsid w:val="005922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732</Words>
  <Characters>4027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Ugen</dc:creator>
  <cp:keywords/>
  <dc:description/>
  <cp:lastModifiedBy>Bart Ugen</cp:lastModifiedBy>
  <cp:revision>6</cp:revision>
  <dcterms:created xsi:type="dcterms:W3CDTF">2026-05-05T12:51:00Z</dcterms:created>
  <dcterms:modified xsi:type="dcterms:W3CDTF">2026-06-01T18:17:00Z</dcterms:modified>
</cp:coreProperties>
</file>